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6FDB1E3C" w:rsidR="00073027" w:rsidRPr="00A656CF" w:rsidRDefault="008D6026" w:rsidP="008D6026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</w:t>
      </w:r>
      <w:r w:rsidR="0013525C">
        <w:rPr>
          <w:rFonts w:ascii="Times New Roman" w:hAnsi="Times New Roman" w:cs="Times New Roman"/>
          <w:noProof/>
          <w:sz w:val="44"/>
          <w:szCs w:val="44"/>
        </w:rPr>
        <w:t>5913 Lyndell Drive, Little Rock, AR 72209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48F62D4C" w:rsidR="00FD53F6" w:rsidRPr="003E697B" w:rsidRDefault="00FD53F6" w:rsidP="008D6026">
      <w:pPr>
        <w:spacing w:after="0"/>
        <w:rPr>
          <w:rFonts w:ascii="Century Gothic" w:hAnsi="Century Gothic"/>
          <w:i/>
          <w:iCs/>
          <w:noProof/>
        </w:rPr>
      </w:pPr>
      <w:bookmarkStart w:id="0" w:name="_GoBack"/>
      <w:bookmarkEnd w:id="0"/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13525C">
        <w:rPr>
          <w:rFonts w:ascii="Century Gothic" w:hAnsi="Century Gothic"/>
          <w:i/>
          <w:iCs/>
          <w:noProof/>
        </w:rPr>
        <w:t>by Turnkey Property Management</w:t>
      </w:r>
    </w:p>
    <w:p w14:paraId="725DE82B" w14:textId="2398382E" w:rsidR="00FD53F6" w:rsidRPr="00FA0559" w:rsidRDefault="0013525C" w:rsidP="00FD53F6">
      <w:pPr>
        <w:rPr>
          <w:rFonts w:ascii="Century Gothic" w:hAnsi="Century Gothic"/>
          <w:sz w:val="24"/>
          <w:szCs w:val="24"/>
        </w:rPr>
      </w:pPr>
      <w:r w:rsidRPr="0013525C">
        <w:rPr>
          <w:rFonts w:ascii="Century Gothic" w:hAnsi="Century Gothic"/>
          <w:sz w:val="24"/>
          <w:szCs w:val="24"/>
        </w:rPr>
        <w:drawing>
          <wp:inline distT="0" distB="0" distL="0" distR="0" wp14:anchorId="21B007DE" wp14:editId="536EB3FE">
            <wp:extent cx="6105525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391" cy="325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6D9B3BAC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1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13525C">
        <w:rPr>
          <w:rFonts w:ascii="Times New Roman" w:hAnsi="Times New Roman" w:cs="Times New Roman"/>
          <w:noProof/>
        </w:rPr>
        <w:t xml:space="preserve"> 3/1.5</w:t>
      </w:r>
    </w:p>
    <w:p w14:paraId="306E2CA3" w14:textId="6767DA3D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13525C">
        <w:rPr>
          <w:rFonts w:ascii="Times New Roman" w:hAnsi="Times New Roman" w:cs="Times New Roman"/>
          <w:noProof/>
        </w:rPr>
        <w:t>1,073</w:t>
      </w:r>
    </w:p>
    <w:p w14:paraId="0DB34335" w14:textId="3A1D2BF2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13525C">
        <w:rPr>
          <w:rFonts w:ascii="Times New Roman" w:hAnsi="Times New Roman" w:cs="Times New Roman"/>
          <w:noProof/>
        </w:rPr>
        <w:t>67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1"/>
    <w:p w14:paraId="2D768D20" w14:textId="24AB6FF4" w:rsidR="0013525C" w:rsidRDefault="000713C2" w:rsidP="0013525C">
      <w:pPr>
        <w:jc w:val="both"/>
        <w:rPr>
          <w:rFonts w:ascii="Century" w:eastAsia="Times New Roman" w:hAnsi="Century" w:cs="Times New Roman"/>
          <w:color w:val="000000"/>
          <w:shd w:val="clear" w:color="auto" w:fill="FFFFFF"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13525C" w:rsidRPr="00CE48CB">
        <w:rPr>
          <w:rFonts w:ascii="Century" w:hAnsi="Century"/>
        </w:rPr>
        <w:t xml:space="preserve">Southwest Little Rock is one of the most culturally and economically diverse section of the city.  </w:t>
      </w:r>
      <w:r w:rsidR="0013525C" w:rsidRPr="00CE48CB">
        <w:rPr>
          <w:rFonts w:ascii="Century" w:eastAsia="Times New Roman" w:hAnsi="Century" w:cs="Times New Roman"/>
          <w:color w:val="000000"/>
          <w:shd w:val="clear" w:color="auto" w:fill="FFFFFF"/>
        </w:rPr>
        <w:t>The Arkansas Times article pointed out the cultural diversity.  The area is home to many of our minority groups, including a large number of Latinos.  Recently, the Little Rock Children’s Hospital constructed a $4 million primary care clinic there, with an emphasis on providing a bilingual staff to service the local community.</w:t>
      </w:r>
      <w:r w:rsidR="0013525C">
        <w:rPr>
          <w:rFonts w:ascii="Century" w:eastAsia="Times New Roman" w:hAnsi="Century" w:cs="Times New Roman"/>
          <w:color w:val="000000"/>
          <w:shd w:val="clear" w:color="auto" w:fill="FFFFFF"/>
        </w:rPr>
        <w:t xml:space="preserve"> </w:t>
      </w:r>
      <w:r w:rsidR="0013525C" w:rsidRPr="00CE48CB">
        <w:rPr>
          <w:rFonts w:ascii="Century" w:eastAsia="Times New Roman" w:hAnsi="Century" w:cs="Times New Roman"/>
          <w:color w:val="000000"/>
          <w:shd w:val="clear" w:color="auto" w:fill="FFFFFF"/>
        </w:rPr>
        <w:t xml:space="preserve">The portion of city is home to many working class / blue collar families.  These residents choose to live and work in SWLR for a variety of reasons. Reasons include the fact that SWLR hosts a diverse economy and Investments continue in the </w:t>
      </w:r>
      <w:proofErr w:type="spellStart"/>
      <w:r w:rsidR="0013525C" w:rsidRPr="00CE48CB">
        <w:rPr>
          <w:rFonts w:ascii="Century" w:eastAsia="Times New Roman" w:hAnsi="Century" w:cs="Times New Roman"/>
          <w:color w:val="000000"/>
          <w:shd w:val="clear" w:color="auto" w:fill="FFFFFF"/>
        </w:rPr>
        <w:t>area.SWLR</w:t>
      </w:r>
      <w:proofErr w:type="spellEnd"/>
      <w:r w:rsidR="0013525C" w:rsidRPr="00CE48CB">
        <w:rPr>
          <w:rFonts w:ascii="Century" w:eastAsia="Times New Roman" w:hAnsi="Century" w:cs="Times New Roman"/>
          <w:color w:val="000000"/>
          <w:shd w:val="clear" w:color="auto" w:fill="FFFFFF"/>
        </w:rPr>
        <w:t xml:space="preserve"> is also home to the Arkansas Department of Transportation Headquarters and the Arkansas State Police Headquarters.  Numerous warehousing, manufacturing and industrial business call SWLR home</w:t>
      </w:r>
    </w:p>
    <w:p w14:paraId="7D1FB794" w14:textId="2AD23BED" w:rsidR="0013525C" w:rsidRDefault="0013525C" w:rsidP="0013525C">
      <w:pPr>
        <w:jc w:val="center"/>
        <w:rPr>
          <w:rFonts w:ascii="Century" w:eastAsia="Times New Roman" w:hAnsi="Century" w:cs="Times New Roman"/>
          <w:color w:val="000000"/>
          <w:shd w:val="clear" w:color="auto" w:fill="FFFFFF"/>
        </w:rPr>
      </w:pPr>
      <w:r>
        <w:rPr>
          <w:rFonts w:ascii="Century" w:eastAsia="Times New Roman" w:hAnsi="Century" w:cs="Times New Roman"/>
          <w:color w:val="000000"/>
          <w:shd w:val="clear" w:color="auto" w:fill="FFFFFF"/>
        </w:rPr>
        <w:t>Roof – New</w:t>
      </w:r>
    </w:p>
    <w:p w14:paraId="4B2B5E0F" w14:textId="4903CAA8" w:rsidR="0013525C" w:rsidRDefault="0013525C" w:rsidP="0013525C">
      <w:pPr>
        <w:jc w:val="center"/>
        <w:rPr>
          <w:rFonts w:ascii="Century" w:eastAsia="Times New Roman" w:hAnsi="Century" w:cs="Times New Roman"/>
          <w:color w:val="000000"/>
          <w:shd w:val="clear" w:color="auto" w:fill="FFFFFF"/>
        </w:rPr>
      </w:pPr>
      <w:r>
        <w:rPr>
          <w:rFonts w:ascii="Century" w:eastAsia="Times New Roman" w:hAnsi="Century" w:cs="Times New Roman"/>
          <w:color w:val="000000"/>
          <w:shd w:val="clear" w:color="auto" w:fill="FFFFFF"/>
        </w:rPr>
        <w:t>AC – 2023</w:t>
      </w:r>
    </w:p>
    <w:p w14:paraId="28771C07" w14:textId="08728618" w:rsidR="0013525C" w:rsidRDefault="0013525C" w:rsidP="0013525C">
      <w:pPr>
        <w:jc w:val="center"/>
        <w:rPr>
          <w:rFonts w:ascii="Century" w:eastAsia="Times New Roman" w:hAnsi="Century" w:cs="Times New Roman"/>
          <w:color w:val="000000"/>
          <w:shd w:val="clear" w:color="auto" w:fill="FFFFFF"/>
        </w:rPr>
      </w:pPr>
      <w:r>
        <w:rPr>
          <w:rFonts w:ascii="Century" w:eastAsia="Times New Roman" w:hAnsi="Century" w:cs="Times New Roman"/>
          <w:color w:val="000000"/>
          <w:shd w:val="clear" w:color="auto" w:fill="FFFFFF"/>
        </w:rPr>
        <w:t>Furnace – 2024</w:t>
      </w:r>
    </w:p>
    <w:p w14:paraId="58A9D32A" w14:textId="1174B5C8" w:rsidR="0013525C" w:rsidRDefault="0013525C" w:rsidP="0013525C">
      <w:pPr>
        <w:jc w:val="center"/>
        <w:rPr>
          <w:rFonts w:ascii="Century" w:eastAsia="Times New Roman" w:hAnsi="Century" w:cs="Times New Roman"/>
          <w:color w:val="000000"/>
          <w:shd w:val="clear" w:color="auto" w:fill="FFFFFF"/>
        </w:rPr>
      </w:pPr>
      <w:r>
        <w:rPr>
          <w:rFonts w:ascii="Century" w:eastAsia="Times New Roman" w:hAnsi="Century" w:cs="Times New Roman"/>
          <w:color w:val="000000"/>
          <w:shd w:val="clear" w:color="auto" w:fill="FFFFFF"/>
        </w:rPr>
        <w:t>Hot Water Heater - New</w:t>
      </w:r>
    </w:p>
    <w:p w14:paraId="756808E0" w14:textId="050CD73C" w:rsidR="0013525C" w:rsidRPr="00CE48CB" w:rsidRDefault="0013525C" w:rsidP="0013525C">
      <w:pPr>
        <w:jc w:val="center"/>
        <w:rPr>
          <w:rFonts w:ascii="Century" w:eastAsia="Times New Roman" w:hAnsi="Century" w:cs="Times New Roman"/>
          <w:color w:val="000000"/>
          <w:shd w:val="clear" w:color="auto" w:fill="FFFFFF"/>
        </w:rPr>
      </w:pPr>
      <w:r>
        <w:rPr>
          <w:rFonts w:ascii="Century" w:eastAsia="Times New Roman" w:hAnsi="Century" w:cs="Times New Roman"/>
          <w:color w:val="000000"/>
          <w:shd w:val="clear" w:color="auto" w:fill="FFFFFF"/>
        </w:rPr>
        <w:t>New electrical panel</w:t>
      </w:r>
    </w:p>
    <w:p w14:paraId="564D7F0B" w14:textId="0C2BBA82" w:rsidR="00830254" w:rsidRPr="00926154" w:rsidRDefault="00830254" w:rsidP="0013525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508FA28A" w14:textId="5FF2B53C" w:rsidR="00830254" w:rsidRPr="00F91271" w:rsidRDefault="00830254" w:rsidP="0013525C">
      <w:pPr>
        <w:jc w:val="both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3"/>
          <w:szCs w:val="23"/>
        </w:rPr>
        <w:t xml:space="preserve">                                                  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2FBC6" w14:textId="77777777" w:rsidR="007329A0" w:rsidRDefault="007329A0" w:rsidP="002C795B">
      <w:pPr>
        <w:spacing w:after="0" w:line="240" w:lineRule="auto"/>
      </w:pPr>
      <w:r>
        <w:separator/>
      </w:r>
    </w:p>
  </w:endnote>
  <w:endnote w:type="continuationSeparator" w:id="0">
    <w:p w14:paraId="577C4706" w14:textId="77777777" w:rsidR="007329A0" w:rsidRDefault="007329A0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00A8C" w14:textId="77777777" w:rsidR="007329A0" w:rsidRDefault="007329A0" w:rsidP="002C795B">
      <w:pPr>
        <w:spacing w:after="0" w:line="240" w:lineRule="auto"/>
      </w:pPr>
      <w:r>
        <w:separator/>
      </w:r>
    </w:p>
  </w:footnote>
  <w:footnote w:type="continuationSeparator" w:id="0">
    <w:p w14:paraId="48FF48A6" w14:textId="77777777" w:rsidR="007329A0" w:rsidRDefault="007329A0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7329A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7329A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713C2"/>
    <w:rsid w:val="00073027"/>
    <w:rsid w:val="001100F8"/>
    <w:rsid w:val="00124514"/>
    <w:rsid w:val="0013525C"/>
    <w:rsid w:val="00203849"/>
    <w:rsid w:val="00207C7D"/>
    <w:rsid w:val="002355B5"/>
    <w:rsid w:val="002C795B"/>
    <w:rsid w:val="0047731D"/>
    <w:rsid w:val="004C0DD5"/>
    <w:rsid w:val="00611C2A"/>
    <w:rsid w:val="00624548"/>
    <w:rsid w:val="00674503"/>
    <w:rsid w:val="006B408A"/>
    <w:rsid w:val="006C7485"/>
    <w:rsid w:val="006E7281"/>
    <w:rsid w:val="00717039"/>
    <w:rsid w:val="007329A0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8D6026"/>
    <w:rsid w:val="0096432A"/>
    <w:rsid w:val="009F4EFD"/>
    <w:rsid w:val="00A052CD"/>
    <w:rsid w:val="00A307D0"/>
    <w:rsid w:val="00A656CF"/>
    <w:rsid w:val="00B46DE7"/>
    <w:rsid w:val="00B51DA2"/>
    <w:rsid w:val="00B54978"/>
    <w:rsid w:val="00B712DB"/>
    <w:rsid w:val="00BA2E69"/>
    <w:rsid w:val="00BC0E4A"/>
    <w:rsid w:val="00C538C3"/>
    <w:rsid w:val="00CA3088"/>
    <w:rsid w:val="00CD7BE2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8EDE-D16D-4C2D-A896-A6C2C6FE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cp:lastPrinted>2017-11-11T17:48:00Z</cp:lastPrinted>
  <dcterms:created xsi:type="dcterms:W3CDTF">2025-02-03T20:23:00Z</dcterms:created>
  <dcterms:modified xsi:type="dcterms:W3CDTF">2025-02-03T20:23:00Z</dcterms:modified>
</cp:coreProperties>
</file>